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:rsidRPr="0024060D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Pr="0024060D" w:rsidRDefault="00500888" w:rsidP="0086238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Charakteristika predkladaného výstupu tvorivej činnosti / </w:t>
            </w:r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br/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submitted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/ 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  <w:t xml:space="preserve"> output</w:t>
            </w:r>
          </w:p>
        </w:tc>
      </w:tr>
      <w:tr w:rsidR="00500888" w:rsidRPr="0024060D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Pr="0024060D" w:rsidRDefault="00500888" w:rsidP="00862380">
            <w:pPr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Pr="0024060D" w:rsidRDefault="00500888" w:rsidP="0086238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500888" w:rsidRPr="0024060D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Pr="0024060D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Pr="0024060D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Pr="0024060D" w:rsidRDefault="00500888" w:rsidP="00862380">
            <w:pPr>
              <w:rPr>
                <w:rFonts w:asciiTheme="minorHAnsi" w:hAnsiTheme="minorHAnsi" w:cstheme="minorHAns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:rsidRPr="0024060D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Pr="0024060D" w:rsidRDefault="0001633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4" w:anchor="'poznamky_explanatory notes'!A1" w:history="1"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ID konania/ID of </w:t>
              </w:r>
              <w:proofErr w:type="spellStart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>procedure</w:t>
              </w:r>
              <w:proofErr w:type="spellEnd"/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: </w:t>
              </w:r>
              <w:r w:rsidR="00500888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Kód VTC/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Code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output (RAOO):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1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00888" w:rsidRPr="0024060D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Pr="0024060D" w:rsidRDefault="00500888" w:rsidP="0086238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Pr="0024060D" w:rsidRDefault="00500888" w:rsidP="0086238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5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Surname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awarded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8E4FFE6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Božik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6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Name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awarded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42FC3A58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Jozef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Degrees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awarded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assessed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4265924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doc. PaedDr., PhD.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OCA4.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entry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person in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Register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university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staff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7ECCD06D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https://www.portalvs.sk/regzam/detail/12414?mode=full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Area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assessment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24060D">
              <w:rPr>
                <w:rFonts w:asciiTheme="minorHAnsi" w:eastAsia="Arial Unicode MS" w:hAnsiTheme="minorHAnsi" w:cstheme="minorHAns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anchor="Expl.OCA6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Category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research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artistic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/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other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output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br/>
              </w:r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4060D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scientific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Year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publication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artistic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0A27CA7" w:rsidR="00BC003C" w:rsidRPr="0024060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2022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OCA8. ID záznamu v CREPČ alebo CREUČ </w:t>
              </w:r>
              <w:r w:rsidR="00BC003C" w:rsidRPr="0024060D">
                <w:rPr>
                  <w:rFonts w:asciiTheme="minorHAnsi" w:hAnsiTheme="minorHAnsi" w:cstheme="minorHAnsi"/>
                  <w:i/>
                  <w:iCs/>
                  <w:sz w:val="16"/>
                  <w:szCs w:val="16"/>
                </w:rPr>
                <w:t>(ak je)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/ ID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record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in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Central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Registry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Publication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Activity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(CRPA) or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Central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Registry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Artistic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Activity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(CRAA)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55830E18" w:rsidR="00BC003C" w:rsidRPr="0024060D" w:rsidRDefault="006B2E47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614328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anchor="'poznamky_explanatory notes'!A1" w:history="1"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OCA9.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Hyperlink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to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>record</w:t>
              </w:r>
              <w:proofErr w:type="spellEnd"/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in CRPA or CRAA </w:t>
              </w:r>
              <w:r w:rsidR="00BC003C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1F55025A" w:rsidR="00BC003C" w:rsidRPr="0024060D" w:rsidRDefault="00016338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16338">
              <w:rPr>
                <w:rFonts w:asciiTheme="minorHAnsi" w:hAnsiTheme="minorHAnsi" w:cstheme="minorHAnsi"/>
                <w:sz w:val="16"/>
                <w:szCs w:val="16"/>
              </w:rPr>
              <w:t>https://app.crepc.sk/?fn=detailBiblioFormChildG60U5&amp;sid=94FCBA815BAA146EE2479DEDAB&amp;seo=CREP%C4%8C-detail-%C4%8Cl%C3%A1nok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C003C" w:rsidRPr="0024060D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Pr="0024060D" w:rsidRDefault="00BC003C" w:rsidP="00BC003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that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registered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17B891BB" w14:textId="39D913AA" w:rsidR="00BC003C" w:rsidRPr="0024060D" w:rsidRDefault="005F6959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  <w:lang w:val="nl-NL"/>
              </w:rPr>
              <w:t>OCA10. Hyperlink na z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áznam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v inom verejne prístupnom registri,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katal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es-ES_tradnl"/>
              </w:rPr>
              <w:t>ó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gu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výstupov tvorivý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ch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 xml:space="preserve"> 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činností 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627B804F" w:rsidR="00BC003C" w:rsidRPr="0024060D" w:rsidRDefault="009147CB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https://www.scienceopen.com/document?vid=5141a9aa-6e77-40c4-89a1-c9f57d9d9a94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Pr="0024060D" w:rsidRDefault="00BC003C" w:rsidP="00BC003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6BCF4A6B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OCA11. Charakteristika výstupu vo formáte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bibliografick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fr-FR"/>
              </w:rPr>
              <w:t>é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katal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es-ES_tradnl"/>
              </w:rPr>
              <w:t>ó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gu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vý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stupov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CE336" w14:textId="6CB4ACCF" w:rsidR="00764F4B" w:rsidRPr="0024060D" w:rsidRDefault="00EF2F40" w:rsidP="00764F4B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Zero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COVID 19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Occurrence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206 of 1023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Syria at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Czech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Border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(Rapid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Note) /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Hennelova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Daniela [Autor, 5.888%] ; Vallová, Jana [Autor, 5.882%] ;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Buc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Veronika [Autor, 5.882%] ; Oláh, Michal [Autor, 5.882%] ; Oláh, Katarína [Autor, 5.882%] ;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Jackulíková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5.882%] ; Krčméry, Vladimír [Autor, 5.882%] ; Ondrušová, Zlata [Autor, 5.882%] ; Doktorov, Anton [Autor, 5.882%] ; Roman, Ladislav [Autor, 5.882%] ;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Vladárová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Markéta [Autor, 5.882%] ;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Božík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Jozef [Autor, 5.882%] ; Valach, Michal [Autor, 5.882%] ; Hupková, Ingrid [Autor, 5.882%] ; Al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Trad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Topoľská, Alexandra [Autor, 5.882%] ;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Naddourová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Annamária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[Autor, 5.882%] ;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Jurašek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, Martin [Autor, 5.882%]. – [recenzované] In: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. – ISSN 2222-386X. – ISSN (online) 2076-9741. – Roč. 13, č. 6 (2022), s. 80-82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73B448D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OCA12. Typ výstupu (ak nie je výstup registrovaný v CREPČ alebo CREUČ</w:t>
            </w:r>
            <w:r w:rsidRPr="002406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 / Type of the output (if the output is not registered in CRPA or CRAA)</w:t>
            </w:r>
            <w:r w:rsidRPr="0024060D">
              <w:rPr>
                <w:rFonts w:asciiTheme="minorHAnsi" w:hAnsiTheme="minorHAnsi" w:cstheme="minorHAnsi"/>
                <w:sz w:val="16"/>
                <w:szCs w:val="16"/>
              </w:rPr>
              <w:br/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Vý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žností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62B1CFD" w:rsidR="00764F4B" w:rsidRPr="0024060D" w:rsidRDefault="00764F4B" w:rsidP="00764F4B">
            <w:pPr>
              <w:pStyle w:val="Textpoznmkypodiarou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V3 (AD</w:t>
            </w:r>
            <w:r w:rsidR="00641D5C"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) </w:t>
            </w:r>
            <w:r w:rsidR="0041380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Zahraničný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Vedecký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karantovaný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príspevok </w:t>
            </w:r>
          </w:p>
        </w:tc>
        <w:tc>
          <w:tcPr>
            <w:tcW w:w="160" w:type="dxa"/>
            <w:vAlign w:val="center"/>
          </w:tcPr>
          <w:p w14:paraId="7BD76A21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OCA13.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Hyperlink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Hyperlink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webpage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where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available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full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text,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other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documentation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7735D822" w:rsidR="00764F4B" w:rsidRPr="0024060D" w:rsidRDefault="00DB2FDA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https://clinicalsocialwork.eu/wp-content/uploads/2022/11/cswhi_06_2022_14_hennel.pdf</w:t>
            </w:r>
          </w:p>
        </w:tc>
        <w:tc>
          <w:tcPr>
            <w:tcW w:w="160" w:type="dxa"/>
            <w:vAlign w:val="center"/>
          </w:tcPr>
          <w:p w14:paraId="655A2F9A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author's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53D2E2B2" w:rsidR="00764F4B" w:rsidRPr="0024060D" w:rsidRDefault="00A00B47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5,882</w:t>
            </w:r>
            <w:r w:rsidR="00764F4B"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764F4B" w:rsidRPr="0024060D" w:rsidRDefault="00016338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anchor="'poznamky_explanatory notes'!A1" w:history="1"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Annotation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output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with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contextual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information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concerning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description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creative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process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and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content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research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/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artistic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/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other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activity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, etc.  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>8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br w:type="page"/>
              </w:r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75943" w14:textId="77777777" w:rsidR="0024060D" w:rsidRPr="0024060D" w:rsidRDefault="0024060D" w:rsidP="0024060D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Nedávne vojnové konflikty v Európe a na Blízkom východe vytvárajú nové utečenecké vlny a možné šírenie variantov Covid I9 z krajín s nízkou vakcinačnou aktivitou v dôsledku ozbrojených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udalostí.Preto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sme testovali všetkých vojnových migrantov (206) prichádzajúcich cez maďarsko-slovensko-české hranice, v priebehu jedného týždňa spomedzi 1023 vojnových utečencov, ktorí mali príznaky respiračnej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infekcie.Žiadny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z testovaných symptomatických jedincov nebol pozitívny rýchlym antigénovým testom, preto sa riziko šírenia COVID I9 nepotvrdilo.</w:t>
            </w:r>
          </w:p>
          <w:p w14:paraId="61681F41" w14:textId="77777777" w:rsidR="0024060D" w:rsidRPr="0024060D" w:rsidRDefault="0024060D" w:rsidP="0024060D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334AAFC" w14:textId="69EA633E" w:rsidR="00764F4B" w:rsidRPr="0024060D" w:rsidRDefault="00764F4B" w:rsidP="00A160F8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764F4B" w:rsidRPr="0024060D" w:rsidRDefault="00016338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anchor="'poznamky_explanatory notes'!A1" w:history="1"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Annotation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of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>the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t xml:space="preserve"> output in English 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  <w:vertAlign w:val="superscript"/>
                </w:rPr>
                <w:t xml:space="preserve"> 9</w:t>
              </w:r>
              <w:r w:rsidR="00764F4B" w:rsidRPr="0024060D">
                <w:rPr>
                  <w:rFonts w:asciiTheme="minorHAnsi" w:hAnsiTheme="minorHAnsi" w:cstheme="minorHAnsi"/>
                  <w:sz w:val="16"/>
                  <w:szCs w:val="16"/>
                </w:rPr>
                <w:br w:type="page"/>
              </w:r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24060D">
                <w:rPr>
                  <w:rFonts w:asciiTheme="minorHAnsi" w:hAnsiTheme="minorHAnsi" w:cstheme="minorHAns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2C593D03" w:rsidR="00764F4B" w:rsidRPr="0024060D" w:rsidRDefault="00AC71DE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Recent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conflicts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Europe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Middle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East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generate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new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refugee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wawes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possible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dissemination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Covid I9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variants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low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vaccination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activity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due</w:t>
            </w:r>
            <w:proofErr w:type="spellEnd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events.Therefore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have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tested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(206)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coming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via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Hungarian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Slovak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Czech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Border,within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one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week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1023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who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had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symptoms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respiratory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infection.None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tested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symptomatic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individuals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positive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by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rapid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antigen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test.Therefore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risk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ofCOVID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I9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dissemination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not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been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confirmed</w:t>
            </w:r>
            <w:proofErr w:type="spellEnd"/>
            <w:r w:rsidR="0024060D" w:rsidRPr="0024060D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significant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citations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corresponding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764F4B" w:rsidRPr="0024060D" w:rsidRDefault="00764F4B" w:rsidP="00764F4B">
            <w:pPr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color w:val="212529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output's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impact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socio-economic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practice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764F4B" w:rsidRPr="0024060D" w:rsidRDefault="00764F4B" w:rsidP="00764F4B">
            <w:pPr>
              <w:pStyle w:val="PredformtovanHTML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64F4B" w:rsidRPr="0024060D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Characteristics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related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activities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'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impact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educational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process</w:t>
            </w:r>
            <w:proofErr w:type="spellEnd"/>
            <w:r w:rsidRPr="0024060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br/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24060D">
              <w:rPr>
                <w:rFonts w:asciiTheme="minorHAnsi" w:hAnsiTheme="minorHAnsi" w:cstheme="minorHAns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764F4B" w:rsidRPr="0024060D" w:rsidRDefault="00764F4B" w:rsidP="00764F4B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764F4B" w:rsidRPr="0024060D" w:rsidRDefault="00764F4B" w:rsidP="00764F4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23BD037" w14:textId="77777777" w:rsidR="00500888" w:rsidRPr="0024060D" w:rsidRDefault="00500888" w:rsidP="00500888">
      <w:pPr>
        <w:rPr>
          <w:rFonts w:asciiTheme="minorHAnsi" w:hAnsiTheme="minorHAnsi" w:cstheme="minorHAnsi"/>
          <w:sz w:val="16"/>
          <w:szCs w:val="16"/>
        </w:rPr>
      </w:pPr>
    </w:p>
    <w:p w14:paraId="7FCAFA0A" w14:textId="77777777" w:rsidR="00131F27" w:rsidRPr="0024060D" w:rsidRDefault="00131F27">
      <w:pPr>
        <w:rPr>
          <w:rFonts w:asciiTheme="minorHAnsi" w:hAnsiTheme="minorHAnsi" w:cstheme="minorHAnsi"/>
          <w:sz w:val="16"/>
          <w:szCs w:val="16"/>
        </w:rPr>
      </w:pPr>
    </w:p>
    <w:sectPr w:rsidR="00131F27" w:rsidRPr="002406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16338"/>
    <w:rsid w:val="000D2ACA"/>
    <w:rsid w:val="00131F27"/>
    <w:rsid w:val="00132549"/>
    <w:rsid w:val="001655DD"/>
    <w:rsid w:val="00166F0A"/>
    <w:rsid w:val="001D22E5"/>
    <w:rsid w:val="0022690C"/>
    <w:rsid w:val="00233BF3"/>
    <w:rsid w:val="0024060D"/>
    <w:rsid w:val="00271EC9"/>
    <w:rsid w:val="0033142E"/>
    <w:rsid w:val="003936B2"/>
    <w:rsid w:val="004076D1"/>
    <w:rsid w:val="00413800"/>
    <w:rsid w:val="00420578"/>
    <w:rsid w:val="0045450F"/>
    <w:rsid w:val="00463824"/>
    <w:rsid w:val="00500888"/>
    <w:rsid w:val="00517C58"/>
    <w:rsid w:val="00564F3D"/>
    <w:rsid w:val="005F6959"/>
    <w:rsid w:val="00616CCE"/>
    <w:rsid w:val="00641D5C"/>
    <w:rsid w:val="00652F82"/>
    <w:rsid w:val="006628B0"/>
    <w:rsid w:val="006B2E47"/>
    <w:rsid w:val="00714638"/>
    <w:rsid w:val="00764F4B"/>
    <w:rsid w:val="0087635C"/>
    <w:rsid w:val="009147CB"/>
    <w:rsid w:val="00A00B47"/>
    <w:rsid w:val="00A160F8"/>
    <w:rsid w:val="00AC71DE"/>
    <w:rsid w:val="00B17BA2"/>
    <w:rsid w:val="00B53689"/>
    <w:rsid w:val="00B630CA"/>
    <w:rsid w:val="00BC003C"/>
    <w:rsid w:val="00D32FD5"/>
    <w:rsid w:val="00DB2FDA"/>
    <w:rsid w:val="00EE65D7"/>
    <w:rsid w:val="00EF2F40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  <w:style w:type="paragraph" w:styleId="Normlnywebov">
    <w:name w:val="Normal (Web)"/>
    <w:basedOn w:val="Normlny"/>
    <w:uiPriority w:val="99"/>
    <w:semiHidden/>
    <w:unhideWhenUsed/>
    <w:rsid w:val="004076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36</cp:revision>
  <dcterms:created xsi:type="dcterms:W3CDTF">2023-02-01T18:51:00Z</dcterms:created>
  <dcterms:modified xsi:type="dcterms:W3CDTF">2023-03-16T08:35:00Z</dcterms:modified>
</cp:coreProperties>
</file>